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59" w:rsidRDefault="00002E59" w:rsidP="00002E59">
      <w:pPr>
        <w:pStyle w:val="font8"/>
        <w:spacing w:line="288" w:lineRule="atLeast"/>
      </w:pPr>
      <w:r>
        <w:rPr>
          <w:rFonts w:ascii="Arial" w:hAnsi="Arial" w:cs="Arial"/>
          <w:color w:val="000000"/>
        </w:rPr>
        <w:t>There is no definitive answer. Refractive status stability is extremely individualized. Some people changes fast, some slow, some may not have change for life. Myopia shift has been observed within 4 months. Without appropriate intervention, myopia progression is expected to be continued until next eye exam. </w:t>
      </w:r>
    </w:p>
    <w:p w:rsidR="00002E59" w:rsidRDefault="00002E59" w:rsidP="00002E59">
      <w:pPr>
        <w:pStyle w:val="font8"/>
        <w:spacing w:line="288" w:lineRule="atLeast"/>
      </w:pPr>
      <w:r>
        <w:rPr>
          <w:rStyle w:val="wixguard"/>
          <w:rFonts w:ascii="Arial" w:hAnsi="Arial" w:cs="Arial"/>
          <w:color w:val="000000"/>
        </w:rPr>
        <w:t>​</w:t>
      </w:r>
      <w:bookmarkStart w:id="0" w:name="_GoBack"/>
      <w:bookmarkEnd w:id="0"/>
      <w:r>
        <w:rPr>
          <w:rFonts w:ascii="Arial" w:hAnsi="Arial" w:cs="Arial"/>
          <w:color w:val="000000"/>
        </w:rPr>
        <w:t>Eminent Eye Care offers follow up check four months after initial eye exam for kids who are found myopia at a nominal fee. Timely detection and intervention allows your family more control on myopia.</w:t>
      </w:r>
    </w:p>
    <w:p w:rsidR="002D7EE5" w:rsidRDefault="002D7EE5"/>
    <w:sectPr w:rsidR="002D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59"/>
    <w:rsid w:val="00002E59"/>
    <w:rsid w:val="002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0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002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0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00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Eminent Eye Care LLC</dc:creator>
  <cp:lastModifiedBy>Eminent Eye Care LLC</cp:lastModifiedBy>
  <cp:revision>1</cp:revision>
  <dcterms:created xsi:type="dcterms:W3CDTF">2018-05-27T09:11:00Z</dcterms:created>
  <dcterms:modified xsi:type="dcterms:W3CDTF">2018-05-27T09:12:00Z</dcterms:modified>
</cp:coreProperties>
</file>